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A34" w:rsidRDefault="004D7785" w:rsidP="00E05A34">
      <w:pPr>
        <w:spacing w:after="0"/>
        <w:rPr>
          <w:rFonts w:ascii="Times New Roman" w:hAnsi="Times New Roman" w:cs="Times New Roman"/>
          <w:b/>
          <w:sz w:val="32"/>
          <w:szCs w:val="32"/>
          <w:u w:val="single"/>
        </w:rPr>
      </w:pPr>
      <w:r>
        <w:rPr>
          <w:rFonts w:ascii="Times New Roman" w:hAnsi="Times New Roman" w:cs="Times New Roman"/>
          <w:b/>
          <w:sz w:val="32"/>
          <w:szCs w:val="32"/>
          <w:highlight w:val="yellow"/>
          <w:u w:val="single"/>
        </w:rPr>
        <w:t>A</w:t>
      </w:r>
      <w:r w:rsidR="00E05A34" w:rsidRPr="004A24C6">
        <w:rPr>
          <w:rFonts w:ascii="Times New Roman" w:hAnsi="Times New Roman" w:cs="Times New Roman"/>
          <w:b/>
          <w:sz w:val="32"/>
          <w:szCs w:val="32"/>
          <w:highlight w:val="yellow"/>
          <w:u w:val="single"/>
        </w:rPr>
        <w:t>PPENDIX A</w:t>
      </w:r>
    </w:p>
    <w:p w:rsidR="00043952" w:rsidRPr="0033306F" w:rsidRDefault="00043952" w:rsidP="00043952">
      <w:pPr>
        <w:jc w:val="both"/>
        <w:rPr>
          <w:rFonts w:ascii="Tahoma" w:hAnsi="Tahoma" w:cs="Tahoma"/>
          <w:b/>
          <w:color w:val="212121"/>
          <w:u w:val="single"/>
          <w:shd w:val="clear" w:color="auto" w:fill="FFFFFF"/>
        </w:rPr>
      </w:pPr>
      <w:r w:rsidRPr="0033306F">
        <w:rPr>
          <w:rFonts w:ascii="Tahoma" w:hAnsi="Tahoma" w:cs="Tahoma"/>
          <w:b/>
          <w:color w:val="212121"/>
          <w:u w:val="single"/>
          <w:shd w:val="clear" w:color="auto" w:fill="FFFFFF"/>
        </w:rPr>
        <w:t>Coldwaltham Parish Council Response to SDNPA Local Plan Site SD64</w:t>
      </w:r>
    </w:p>
    <w:p w:rsidR="00043952" w:rsidRDefault="00043952" w:rsidP="00043952">
      <w:pPr>
        <w:jc w:val="both"/>
        <w:rPr>
          <w:rFonts w:ascii="Tahoma" w:hAnsi="Tahoma" w:cs="Tahoma"/>
          <w:color w:val="212121"/>
          <w:shd w:val="clear" w:color="auto" w:fill="FFFFFF"/>
        </w:rPr>
      </w:pPr>
      <w:r w:rsidRPr="006B364B">
        <w:rPr>
          <w:rFonts w:ascii="Tahoma" w:hAnsi="Tahoma" w:cs="Tahoma"/>
          <w:color w:val="212121"/>
          <w:shd w:val="clear" w:color="auto" w:fill="FFFFFF"/>
        </w:rPr>
        <w:t>In summary</w:t>
      </w:r>
      <w:r>
        <w:rPr>
          <w:rFonts w:ascii="Tahoma" w:hAnsi="Tahoma" w:cs="Tahoma"/>
          <w:color w:val="212121"/>
          <w:shd w:val="clear" w:color="auto" w:fill="FFFFFF"/>
        </w:rPr>
        <w:t>:</w:t>
      </w:r>
    </w:p>
    <w:p w:rsidR="00043952" w:rsidRDefault="00043952" w:rsidP="00043952">
      <w:pPr>
        <w:jc w:val="both"/>
        <w:rPr>
          <w:rFonts w:ascii="Tahoma" w:hAnsi="Tahoma" w:cs="Tahoma"/>
          <w:color w:val="212121"/>
          <w:shd w:val="clear" w:color="auto" w:fill="FFFFFF"/>
        </w:rPr>
      </w:pPr>
      <w:r w:rsidRPr="006B364B">
        <w:rPr>
          <w:rFonts w:ascii="Tahoma" w:hAnsi="Tahoma" w:cs="Tahoma"/>
          <w:b/>
          <w:color w:val="212121"/>
          <w:shd w:val="clear" w:color="auto" w:fill="FFFFFF"/>
        </w:rPr>
        <w:t xml:space="preserve">We cannot endorse or support major development of the </w:t>
      </w:r>
      <w:proofErr w:type="spellStart"/>
      <w:r w:rsidRPr="006B364B">
        <w:rPr>
          <w:rFonts w:ascii="Tahoma" w:hAnsi="Tahoma" w:cs="Tahoma"/>
          <w:b/>
          <w:color w:val="212121"/>
          <w:shd w:val="clear" w:color="auto" w:fill="FFFFFF"/>
        </w:rPr>
        <w:t>Brookview</w:t>
      </w:r>
      <w:proofErr w:type="spellEnd"/>
      <w:r w:rsidRPr="006B364B">
        <w:rPr>
          <w:rFonts w:ascii="Tahoma" w:hAnsi="Tahoma" w:cs="Tahoma"/>
          <w:b/>
          <w:color w:val="212121"/>
          <w:shd w:val="clear" w:color="auto" w:fill="FFFFFF"/>
        </w:rPr>
        <w:t xml:space="preserve"> site (SD64) as proposed in the pre-submission </w:t>
      </w:r>
      <w:r w:rsidRPr="00EC7D52">
        <w:rPr>
          <w:rFonts w:ascii="Tahoma" w:hAnsi="Tahoma" w:cs="Tahoma"/>
          <w:b/>
          <w:color w:val="212121"/>
          <w:shd w:val="clear" w:color="auto" w:fill="FFFFFF"/>
        </w:rPr>
        <w:t>document. Nor would we support similar projects of such size at any of the other sites local landowners have recently submitted to the SDNPA.</w:t>
      </w:r>
    </w:p>
    <w:p w:rsidR="00043952" w:rsidRDefault="00043952" w:rsidP="00043952">
      <w:pPr>
        <w:jc w:val="both"/>
        <w:rPr>
          <w:rFonts w:ascii="Tahoma" w:hAnsi="Tahoma" w:cs="Tahoma"/>
          <w:color w:val="212121"/>
          <w:shd w:val="clear" w:color="auto" w:fill="FFFFFF"/>
        </w:rPr>
      </w:pPr>
      <w:r w:rsidRPr="006B364B">
        <w:rPr>
          <w:rFonts w:ascii="Tahoma" w:hAnsi="Tahoma" w:cs="Tahoma"/>
          <w:color w:val="212121"/>
          <w:shd w:val="clear" w:color="auto" w:fill="FFFFFF"/>
        </w:rPr>
        <w:t>The PC has consulted widely across the three v</w:t>
      </w:r>
      <w:r>
        <w:rPr>
          <w:rFonts w:ascii="Tahoma" w:hAnsi="Tahoma" w:cs="Tahoma"/>
          <w:color w:val="212121"/>
          <w:shd w:val="clear" w:color="auto" w:fill="FFFFFF"/>
        </w:rPr>
        <w:t>illages in the period since mid-</w:t>
      </w:r>
      <w:r w:rsidRPr="006B364B">
        <w:rPr>
          <w:rFonts w:ascii="Tahoma" w:hAnsi="Tahoma" w:cs="Tahoma"/>
          <w:color w:val="212121"/>
          <w:shd w:val="clear" w:color="auto" w:fill="FFFFFF"/>
        </w:rPr>
        <w:t>March 2017, when we first became aware of thes</w:t>
      </w:r>
      <w:r>
        <w:rPr>
          <w:rFonts w:ascii="Tahoma" w:hAnsi="Tahoma" w:cs="Tahoma"/>
          <w:color w:val="212121"/>
          <w:shd w:val="clear" w:color="auto" w:fill="FFFFFF"/>
        </w:rPr>
        <w:t>e proposals. There has been significant</w:t>
      </w:r>
      <w:r w:rsidRPr="006B364B">
        <w:rPr>
          <w:rFonts w:ascii="Tahoma" w:hAnsi="Tahoma" w:cs="Tahoma"/>
          <w:color w:val="212121"/>
          <w:shd w:val="clear" w:color="auto" w:fill="FFFFFF"/>
        </w:rPr>
        <w:t xml:space="preserve"> division in our community because of this proposal and because of the way in which this proposal was constructed without proper or due consultation or community involvement.</w:t>
      </w:r>
    </w:p>
    <w:p w:rsidR="00043952" w:rsidRDefault="00043952" w:rsidP="00043952">
      <w:pPr>
        <w:jc w:val="both"/>
        <w:rPr>
          <w:rFonts w:ascii="Tahoma" w:hAnsi="Tahoma" w:cs="Tahoma"/>
          <w:color w:val="212121"/>
          <w:shd w:val="clear" w:color="auto" w:fill="FFFFFF"/>
        </w:rPr>
      </w:pPr>
      <w:r w:rsidRPr="006B364B">
        <w:rPr>
          <w:rFonts w:ascii="Tahoma" w:hAnsi="Tahoma" w:cs="Tahoma"/>
          <w:color w:val="212121"/>
          <w:shd w:val="clear" w:color="auto" w:fill="FFFFFF"/>
        </w:rPr>
        <w:t xml:space="preserve">We cannot endorse any single site, on the scale of development that is proposed.  Together with </w:t>
      </w:r>
      <w:proofErr w:type="spellStart"/>
      <w:r w:rsidRPr="006B364B">
        <w:rPr>
          <w:rFonts w:ascii="Tahoma" w:hAnsi="Tahoma" w:cs="Tahoma"/>
          <w:color w:val="212121"/>
          <w:shd w:val="clear" w:color="auto" w:fill="FFFFFF"/>
        </w:rPr>
        <w:t>Brookview</w:t>
      </w:r>
      <w:proofErr w:type="spellEnd"/>
      <w:r w:rsidRPr="006B364B">
        <w:rPr>
          <w:rFonts w:ascii="Tahoma" w:hAnsi="Tahoma" w:cs="Tahoma"/>
          <w:color w:val="212121"/>
          <w:shd w:val="clear" w:color="auto" w:fill="FFFFFF"/>
        </w:rPr>
        <w:t>, a range of sites have now been put forward, and we believe there is another way to deal with the local housing need.</w:t>
      </w:r>
    </w:p>
    <w:p w:rsidR="00043952" w:rsidRPr="006B364B" w:rsidRDefault="00043952" w:rsidP="00043952">
      <w:pPr>
        <w:jc w:val="both"/>
        <w:rPr>
          <w:rFonts w:ascii="Tahoma" w:hAnsi="Tahoma" w:cs="Tahoma"/>
          <w:color w:val="212121"/>
          <w:shd w:val="clear" w:color="auto" w:fill="FFFFFF"/>
        </w:rPr>
      </w:pPr>
      <w:r w:rsidRPr="006B364B">
        <w:rPr>
          <w:rFonts w:ascii="Tahoma" w:hAnsi="Tahoma" w:cs="Tahoma"/>
          <w:color w:val="212121"/>
          <w:shd w:val="clear" w:color="auto" w:fill="FFFFFF"/>
        </w:rPr>
        <w:t>We do not reject development in the village; we wish to support development which is affordable and would bring new people into the village, especially to support the School.</w:t>
      </w:r>
    </w:p>
    <w:p w:rsidR="00043952" w:rsidRDefault="00043952" w:rsidP="00043952">
      <w:pPr>
        <w:jc w:val="both"/>
        <w:rPr>
          <w:rFonts w:ascii="Tahoma" w:hAnsi="Tahoma" w:cs="Tahoma"/>
          <w:color w:val="212121"/>
          <w:u w:val="single"/>
          <w:shd w:val="clear" w:color="auto" w:fill="FFFFFF"/>
        </w:rPr>
      </w:pPr>
      <w:r w:rsidRPr="006B364B">
        <w:rPr>
          <w:rFonts w:ascii="Tahoma" w:hAnsi="Tahoma" w:cs="Tahoma"/>
          <w:color w:val="212121"/>
          <w:shd w:val="clear" w:color="auto" w:fill="FFFFFF"/>
        </w:rPr>
        <w:t>We do believe, and there is evidence for</w:t>
      </w:r>
      <w:r>
        <w:rPr>
          <w:rFonts w:ascii="Tahoma" w:hAnsi="Tahoma" w:cs="Tahoma"/>
          <w:color w:val="212121"/>
          <w:shd w:val="clear" w:color="auto" w:fill="FFFFFF"/>
        </w:rPr>
        <w:t xml:space="preserve"> this, that there is a need for </w:t>
      </w:r>
      <w:r w:rsidRPr="00350D6C">
        <w:rPr>
          <w:rFonts w:ascii="Tahoma" w:hAnsi="Tahoma" w:cs="Tahoma"/>
          <w:b/>
          <w:color w:val="212121"/>
          <w:shd w:val="clear" w:color="auto" w:fill="FFFFFF"/>
        </w:rPr>
        <w:t>additional</w:t>
      </w:r>
      <w:r>
        <w:rPr>
          <w:rStyle w:val="apple-converted-space"/>
          <w:rFonts w:ascii="Tahoma" w:hAnsi="Tahoma" w:cs="Tahoma"/>
          <w:b/>
          <w:color w:val="212121"/>
          <w:shd w:val="clear" w:color="auto" w:fill="FFFFFF"/>
        </w:rPr>
        <w:t xml:space="preserve"> affordable </w:t>
      </w:r>
      <w:r w:rsidRPr="006B364B">
        <w:rPr>
          <w:rFonts w:ascii="Tahoma" w:hAnsi="Tahoma" w:cs="Tahoma"/>
          <w:color w:val="212121"/>
          <w:shd w:val="clear" w:color="auto" w:fill="FFFFFF"/>
        </w:rPr>
        <w:t>housing in the village. Prices on current houses that are for sal</w:t>
      </w:r>
      <w:r>
        <w:rPr>
          <w:rFonts w:ascii="Tahoma" w:hAnsi="Tahoma" w:cs="Tahoma"/>
          <w:color w:val="212121"/>
          <w:shd w:val="clear" w:color="auto" w:fill="FFFFFF"/>
        </w:rPr>
        <w:t xml:space="preserve">e in all three villages are way </w:t>
      </w:r>
      <w:r w:rsidRPr="006B364B">
        <w:rPr>
          <w:rFonts w:ascii="Tahoma" w:hAnsi="Tahoma" w:cs="Tahoma"/>
          <w:color w:val="212121"/>
          <w:shd w:val="clear" w:color="auto" w:fill="FFFFFF"/>
        </w:rPr>
        <w:t xml:space="preserve">beyond the ability of </w:t>
      </w:r>
      <w:r w:rsidRPr="00350D6C">
        <w:rPr>
          <w:rFonts w:ascii="Tahoma" w:hAnsi="Tahoma" w:cs="Tahoma"/>
          <w:color w:val="212121"/>
          <w:u w:val="single"/>
          <w:shd w:val="clear" w:color="auto" w:fill="FFFFFF"/>
        </w:rPr>
        <w:t xml:space="preserve">local young people to ‘stay local”.  </w:t>
      </w:r>
      <w:r w:rsidRPr="00687C85">
        <w:rPr>
          <w:rFonts w:ascii="Tahoma" w:hAnsi="Tahoma" w:cs="Tahoma"/>
          <w:color w:val="212121"/>
          <w:shd w:val="clear" w:color="auto" w:fill="FFFFFF"/>
        </w:rPr>
        <w:t>A housing Survey completed</w:t>
      </w:r>
      <w:r w:rsidRPr="00350D6C">
        <w:rPr>
          <w:rFonts w:ascii="Tahoma" w:hAnsi="Tahoma" w:cs="Tahoma"/>
          <w:color w:val="212121"/>
          <w:u w:val="single"/>
          <w:shd w:val="clear" w:color="auto" w:fill="FFFFFF"/>
        </w:rPr>
        <w:t xml:space="preserve"> </w:t>
      </w:r>
      <w:r w:rsidRPr="00AF7FCA">
        <w:rPr>
          <w:rFonts w:ascii="Tahoma" w:hAnsi="Tahoma" w:cs="Tahoma"/>
          <w:color w:val="212121"/>
          <w:shd w:val="clear" w:color="auto" w:fill="FFFFFF"/>
        </w:rPr>
        <w:t>4 years</w:t>
      </w:r>
      <w:r w:rsidRPr="00350D6C">
        <w:rPr>
          <w:rFonts w:ascii="Tahoma" w:hAnsi="Tahoma" w:cs="Tahoma"/>
          <w:color w:val="212121"/>
          <w:u w:val="single"/>
          <w:shd w:val="clear" w:color="auto" w:fill="FFFFFF"/>
        </w:rPr>
        <w:t xml:space="preserve"> </w:t>
      </w:r>
      <w:r w:rsidRPr="00350D6C">
        <w:rPr>
          <w:rFonts w:ascii="Tahoma" w:hAnsi="Tahoma" w:cs="Tahoma"/>
          <w:color w:val="212121"/>
          <w:shd w:val="clear" w:color="auto" w:fill="FFFFFF"/>
        </w:rPr>
        <w:t>ago would suggest that the current development of 8 affordable houses (still to be completed) at Silverdale, Coldwaltham, would go some way to satisfying demand.</w:t>
      </w:r>
    </w:p>
    <w:p w:rsidR="00043952" w:rsidRDefault="00043952" w:rsidP="00043952">
      <w:pPr>
        <w:jc w:val="both"/>
        <w:rPr>
          <w:rFonts w:ascii="Tahoma" w:hAnsi="Tahoma" w:cs="Tahoma"/>
          <w:color w:val="212121"/>
          <w:shd w:val="clear" w:color="auto" w:fill="FFFFFF"/>
        </w:rPr>
      </w:pPr>
      <w:r w:rsidRPr="006B364B">
        <w:rPr>
          <w:rFonts w:ascii="Tahoma" w:hAnsi="Tahoma" w:cs="Tahoma"/>
          <w:color w:val="212121"/>
          <w:shd w:val="clear" w:color="auto" w:fill="FFFFFF"/>
        </w:rPr>
        <w:t>Therefore</w:t>
      </w:r>
      <w:r>
        <w:rPr>
          <w:rFonts w:ascii="Tahoma" w:hAnsi="Tahoma" w:cs="Tahoma"/>
          <w:color w:val="212121"/>
          <w:shd w:val="clear" w:color="auto" w:fill="FFFFFF"/>
        </w:rPr>
        <w:t>,</w:t>
      </w:r>
      <w:r w:rsidRPr="006B364B">
        <w:rPr>
          <w:rFonts w:ascii="Tahoma" w:hAnsi="Tahoma" w:cs="Tahoma"/>
          <w:color w:val="212121"/>
          <w:shd w:val="clear" w:color="auto" w:fill="FFFFFF"/>
        </w:rPr>
        <w:t xml:space="preserve"> </w:t>
      </w:r>
      <w:r w:rsidRPr="00EC7D52">
        <w:rPr>
          <w:rFonts w:ascii="Tahoma" w:hAnsi="Tahoma" w:cs="Tahoma"/>
          <w:b/>
          <w:color w:val="212121"/>
          <w:shd w:val="clear" w:color="auto" w:fill="FFFFFF"/>
        </w:rPr>
        <w:t>we would propose that the SDNP should consider the potential</w:t>
      </w:r>
      <w:r w:rsidRPr="006B364B">
        <w:rPr>
          <w:rFonts w:ascii="Tahoma" w:hAnsi="Tahoma" w:cs="Tahoma"/>
          <w:color w:val="212121"/>
          <w:shd w:val="clear" w:color="auto" w:fill="FFFFFF"/>
        </w:rPr>
        <w:t xml:space="preserve"> </w:t>
      </w:r>
      <w:r w:rsidRPr="00EC7D52">
        <w:rPr>
          <w:rFonts w:ascii="Tahoma" w:hAnsi="Tahoma" w:cs="Tahoma"/>
          <w:b/>
          <w:color w:val="212121"/>
          <w:shd w:val="clear" w:color="auto" w:fill="FFFFFF"/>
        </w:rPr>
        <w:t>for small scale developments of 6-8 houses</w:t>
      </w:r>
      <w:r w:rsidRPr="006B364B">
        <w:rPr>
          <w:rFonts w:ascii="Tahoma" w:hAnsi="Tahoma" w:cs="Tahoma"/>
          <w:color w:val="212121"/>
          <w:shd w:val="clear" w:color="auto" w:fill="FFFFFF"/>
        </w:rPr>
        <w:t xml:space="preserve">, which would avoid the impact on landscape, traffic </w:t>
      </w:r>
      <w:r>
        <w:rPr>
          <w:rFonts w:ascii="Tahoma" w:hAnsi="Tahoma" w:cs="Tahoma"/>
          <w:color w:val="212121"/>
          <w:shd w:val="clear" w:color="auto" w:fill="FFFFFF"/>
        </w:rPr>
        <w:t xml:space="preserve">and ecology of a new 30 house </w:t>
      </w:r>
      <w:r w:rsidRPr="006B364B">
        <w:rPr>
          <w:rFonts w:ascii="Tahoma" w:hAnsi="Tahoma" w:cs="Tahoma"/>
          <w:color w:val="212121"/>
          <w:shd w:val="clear" w:color="auto" w:fill="FFFFFF"/>
        </w:rPr>
        <w:t>estate’ in a sm</w:t>
      </w:r>
      <w:r>
        <w:rPr>
          <w:rFonts w:ascii="Tahoma" w:hAnsi="Tahoma" w:cs="Tahoma"/>
          <w:color w:val="212121"/>
          <w:shd w:val="clear" w:color="auto" w:fill="FFFFFF"/>
        </w:rPr>
        <w:t>all community and location.</w:t>
      </w:r>
    </w:p>
    <w:p w:rsidR="00043952" w:rsidRDefault="00043952" w:rsidP="00043952">
      <w:pPr>
        <w:jc w:val="both"/>
        <w:rPr>
          <w:rFonts w:ascii="Tahoma" w:hAnsi="Tahoma" w:cs="Tahoma"/>
          <w:color w:val="212121"/>
          <w:shd w:val="clear" w:color="auto" w:fill="FFFFFF"/>
        </w:rPr>
      </w:pPr>
      <w:r w:rsidRPr="006B364B">
        <w:rPr>
          <w:rFonts w:ascii="Tahoma" w:hAnsi="Tahoma" w:cs="Tahoma"/>
          <w:color w:val="212121"/>
          <w:shd w:val="clear" w:color="auto" w:fill="FFFFFF"/>
        </w:rPr>
        <w:t>We cannot su</w:t>
      </w:r>
      <w:r>
        <w:rPr>
          <w:rFonts w:ascii="Tahoma" w:hAnsi="Tahoma" w:cs="Tahoma"/>
          <w:color w:val="212121"/>
          <w:shd w:val="clear" w:color="auto" w:fill="FFFFFF"/>
        </w:rPr>
        <w:t xml:space="preserve">pport the scale of development </w:t>
      </w:r>
      <w:r w:rsidRPr="006B364B">
        <w:rPr>
          <w:rFonts w:ascii="Tahoma" w:hAnsi="Tahoma" w:cs="Tahoma"/>
          <w:color w:val="212121"/>
          <w:shd w:val="clear" w:color="auto" w:fill="FFFFFF"/>
        </w:rPr>
        <w:t>proposed for Land South of London Road Col</w:t>
      </w:r>
      <w:r>
        <w:rPr>
          <w:rFonts w:ascii="Tahoma" w:hAnsi="Tahoma" w:cs="Tahoma"/>
          <w:color w:val="212121"/>
          <w:shd w:val="clear" w:color="auto" w:fill="FFFFFF"/>
        </w:rPr>
        <w:t>dwaltham (Section 9E in the Pre-</w:t>
      </w:r>
      <w:r w:rsidRPr="006B364B">
        <w:rPr>
          <w:rFonts w:ascii="Tahoma" w:hAnsi="Tahoma" w:cs="Tahoma"/>
          <w:color w:val="212121"/>
          <w:shd w:val="clear" w:color="auto" w:fill="FFFFFF"/>
        </w:rPr>
        <w:t xml:space="preserve">Submission document). </w:t>
      </w:r>
      <w:r w:rsidRPr="00EC7D52">
        <w:rPr>
          <w:rFonts w:ascii="Tahoma" w:hAnsi="Tahoma" w:cs="Tahoma"/>
          <w:b/>
          <w:color w:val="212121"/>
          <w:shd w:val="clear" w:color="auto" w:fill="FFFFFF"/>
        </w:rPr>
        <w:t>The status and costs of maintaining the public open space land have not been addressed;</w:t>
      </w:r>
      <w:r w:rsidRPr="006B364B">
        <w:rPr>
          <w:rFonts w:ascii="Tahoma" w:hAnsi="Tahoma" w:cs="Tahoma"/>
          <w:color w:val="212121"/>
          <w:shd w:val="clear" w:color="auto" w:fill="FFFFFF"/>
        </w:rPr>
        <w:t xml:space="preserve"> the site is one of only two in the National Park that were judged in the Sustainability Appraisal (June 2017) of the South Downs Local Plan, billed as 'landscape-led', to have a likely adverse effect on the landscape, which is of high sensitivity in the </w:t>
      </w:r>
      <w:proofErr w:type="spellStart"/>
      <w:r w:rsidRPr="006B364B">
        <w:rPr>
          <w:rFonts w:ascii="Tahoma" w:hAnsi="Tahoma" w:cs="Tahoma"/>
          <w:color w:val="212121"/>
          <w:shd w:val="clear" w:color="auto" w:fill="FFFFFF"/>
        </w:rPr>
        <w:t>Arun</w:t>
      </w:r>
      <w:proofErr w:type="spellEnd"/>
      <w:r w:rsidRPr="006B364B">
        <w:rPr>
          <w:rFonts w:ascii="Tahoma" w:hAnsi="Tahoma" w:cs="Tahoma"/>
          <w:color w:val="212121"/>
          <w:shd w:val="clear" w:color="auto" w:fill="FFFFFF"/>
        </w:rPr>
        <w:t xml:space="preserve"> Valley; and there are a significant number of ecological factors attached to this field. Evidence about this has also been submitted by other </w:t>
      </w:r>
      <w:proofErr w:type="gramStart"/>
      <w:r w:rsidRPr="006B364B">
        <w:rPr>
          <w:rFonts w:ascii="Tahoma" w:hAnsi="Tahoma" w:cs="Tahoma"/>
          <w:color w:val="212121"/>
          <w:shd w:val="clear" w:color="auto" w:fill="FFFFFF"/>
        </w:rPr>
        <w:t>local residents</w:t>
      </w:r>
      <w:proofErr w:type="gramEnd"/>
      <w:r>
        <w:rPr>
          <w:rFonts w:ascii="Tahoma" w:hAnsi="Tahoma" w:cs="Tahoma"/>
          <w:color w:val="212121"/>
          <w:shd w:val="clear" w:color="auto" w:fill="FFFFFF"/>
        </w:rPr>
        <w:t>.</w:t>
      </w:r>
    </w:p>
    <w:p w:rsidR="00043952" w:rsidRDefault="00043952" w:rsidP="00043952">
      <w:pPr>
        <w:jc w:val="both"/>
        <w:rPr>
          <w:rFonts w:ascii="Tahoma" w:hAnsi="Tahoma" w:cs="Tahoma"/>
          <w:color w:val="212121"/>
          <w:shd w:val="clear" w:color="auto" w:fill="FFFFFF"/>
        </w:rPr>
      </w:pPr>
      <w:r w:rsidRPr="006B364B">
        <w:rPr>
          <w:rFonts w:ascii="Tahoma" w:hAnsi="Tahoma" w:cs="Tahoma"/>
          <w:color w:val="212121"/>
          <w:shd w:val="clear" w:color="auto" w:fill="FFFFFF"/>
        </w:rPr>
        <w:t>This consultation has prompted other local landowners to submit land for potential development. These sites are no more acceptable to us than the land south of London Road for a single development on the scale proposed</w:t>
      </w:r>
      <w:r>
        <w:rPr>
          <w:rFonts w:ascii="Tahoma" w:hAnsi="Tahoma" w:cs="Tahoma"/>
          <w:color w:val="212121"/>
          <w:shd w:val="clear" w:color="auto" w:fill="FFFFFF"/>
        </w:rPr>
        <w:t>. They have</w:t>
      </w:r>
      <w:r w:rsidRPr="006B364B">
        <w:rPr>
          <w:rFonts w:ascii="Tahoma" w:hAnsi="Tahoma" w:cs="Tahoma"/>
          <w:color w:val="212121"/>
          <w:shd w:val="clear" w:color="auto" w:fill="FFFFFF"/>
        </w:rPr>
        <w:t>, their own ecological and landscape factors together with historical features, all of which should mean no more than small-scale development carefully sited to minimise</w:t>
      </w:r>
      <w:r>
        <w:rPr>
          <w:rFonts w:ascii="Tahoma" w:hAnsi="Tahoma" w:cs="Tahoma"/>
          <w:color w:val="212121"/>
          <w:shd w:val="clear" w:color="auto" w:fill="FFFFFF"/>
        </w:rPr>
        <w:t xml:space="preserve"> impact, here and at </w:t>
      </w:r>
      <w:proofErr w:type="spellStart"/>
      <w:r>
        <w:rPr>
          <w:rFonts w:ascii="Tahoma" w:hAnsi="Tahoma" w:cs="Tahoma"/>
          <w:color w:val="212121"/>
          <w:shd w:val="clear" w:color="auto" w:fill="FFFFFF"/>
        </w:rPr>
        <w:t>Brookview</w:t>
      </w:r>
      <w:proofErr w:type="spellEnd"/>
      <w:r>
        <w:rPr>
          <w:rFonts w:ascii="Tahoma" w:hAnsi="Tahoma" w:cs="Tahoma"/>
          <w:color w:val="212121"/>
          <w:shd w:val="clear" w:color="auto" w:fill="FFFFFF"/>
        </w:rPr>
        <w:t>.</w:t>
      </w:r>
    </w:p>
    <w:p w:rsidR="00043952" w:rsidRDefault="00043952" w:rsidP="00043952">
      <w:pPr>
        <w:jc w:val="both"/>
        <w:rPr>
          <w:rFonts w:ascii="Tahoma" w:hAnsi="Tahoma" w:cs="Tahoma"/>
          <w:color w:val="212121"/>
          <w:shd w:val="clear" w:color="auto" w:fill="FFFFFF"/>
        </w:rPr>
      </w:pPr>
      <w:r w:rsidRPr="006B364B">
        <w:rPr>
          <w:rFonts w:ascii="Tahoma" w:hAnsi="Tahoma" w:cs="Tahoma"/>
          <w:color w:val="212121"/>
          <w:shd w:val="clear" w:color="auto" w:fill="FFFFFF"/>
        </w:rPr>
        <w:t xml:space="preserve">There is no objective evidence in our view to justify any large-scale development in our village. This </w:t>
      </w:r>
      <w:proofErr w:type="gramStart"/>
      <w:r w:rsidRPr="006B364B">
        <w:rPr>
          <w:rFonts w:ascii="Tahoma" w:hAnsi="Tahoma" w:cs="Tahoma"/>
          <w:color w:val="212121"/>
          <w:shd w:val="clear" w:color="auto" w:fill="FFFFFF"/>
        </w:rPr>
        <w:t>is a reflection of</w:t>
      </w:r>
      <w:proofErr w:type="gramEnd"/>
      <w:r w:rsidRPr="006B364B">
        <w:rPr>
          <w:rFonts w:ascii="Tahoma" w:hAnsi="Tahoma" w:cs="Tahoma"/>
          <w:color w:val="212121"/>
          <w:shd w:val="clear" w:color="auto" w:fill="FFFFFF"/>
        </w:rPr>
        <w:t xml:space="preserve"> the many thoughtful and considered comments along these lines that you will have received from members of the parish.</w:t>
      </w:r>
    </w:p>
    <w:p w:rsidR="00043952" w:rsidRDefault="00043952" w:rsidP="00043952">
      <w:pPr>
        <w:jc w:val="both"/>
        <w:rPr>
          <w:rFonts w:ascii="Tahoma" w:hAnsi="Tahoma" w:cs="Tahoma"/>
          <w:color w:val="212121"/>
          <w:shd w:val="clear" w:color="auto" w:fill="FFFFFF"/>
        </w:rPr>
      </w:pPr>
      <w:r w:rsidRPr="006B364B">
        <w:rPr>
          <w:rFonts w:ascii="Tahoma" w:hAnsi="Tahoma" w:cs="Tahoma"/>
          <w:color w:val="212121"/>
          <w:shd w:val="clear" w:color="auto" w:fill="FFFFFF"/>
        </w:rPr>
        <w:lastRenderedPageBreak/>
        <w:t xml:space="preserve">In constructing our Village Plan in 2004 and again in 2014, when all </w:t>
      </w:r>
      <w:proofErr w:type="gramStart"/>
      <w:r w:rsidRPr="006B364B">
        <w:rPr>
          <w:rFonts w:ascii="Tahoma" w:hAnsi="Tahoma" w:cs="Tahoma"/>
          <w:color w:val="212121"/>
          <w:shd w:val="clear" w:color="auto" w:fill="FFFFFF"/>
        </w:rPr>
        <w:t>local residents</w:t>
      </w:r>
      <w:proofErr w:type="gramEnd"/>
      <w:r w:rsidRPr="006B364B">
        <w:rPr>
          <w:rFonts w:ascii="Tahoma" w:hAnsi="Tahoma" w:cs="Tahoma"/>
          <w:color w:val="212121"/>
          <w:shd w:val="clear" w:color="auto" w:fill="FFFFFF"/>
        </w:rPr>
        <w:t xml:space="preserve"> and local organizations were consulted, large scale development was rejected; we have very limited infrastructure, public transport or employment opportunities</w:t>
      </w:r>
      <w:r>
        <w:rPr>
          <w:rFonts w:ascii="Tahoma" w:hAnsi="Tahoma" w:cs="Tahoma"/>
          <w:color w:val="212121"/>
          <w:shd w:val="clear" w:color="auto" w:fill="FFFFFF"/>
        </w:rPr>
        <w:t>.</w:t>
      </w:r>
    </w:p>
    <w:p w:rsidR="00043952" w:rsidRDefault="00043952" w:rsidP="00043952">
      <w:pPr>
        <w:jc w:val="both"/>
        <w:rPr>
          <w:rFonts w:ascii="Tahoma" w:hAnsi="Tahoma" w:cs="Tahoma"/>
          <w:color w:val="212121"/>
          <w:shd w:val="clear" w:color="auto" w:fill="FFFFFF"/>
        </w:rPr>
      </w:pPr>
      <w:r w:rsidRPr="006B364B">
        <w:rPr>
          <w:rFonts w:ascii="Tahoma" w:hAnsi="Tahoma" w:cs="Tahoma"/>
          <w:color w:val="212121"/>
          <w:shd w:val="clear" w:color="auto" w:fill="FFFFFF"/>
        </w:rPr>
        <w:t xml:space="preserve">For any development in our parish serious consideration has also to be given to the impact on traffic. The A29 is a very busy, signposted ‘trunk road’ which carries traffic between the South Coast, via Gatwick and Horsham. Any further access roads from significant housing locations will add to traffic and accident risks, especially at morning and evening peak hours. There are </w:t>
      </w:r>
      <w:proofErr w:type="gramStart"/>
      <w:r w:rsidRPr="006B364B">
        <w:rPr>
          <w:rFonts w:ascii="Tahoma" w:hAnsi="Tahoma" w:cs="Tahoma"/>
          <w:color w:val="212121"/>
          <w:shd w:val="clear" w:color="auto" w:fill="FFFFFF"/>
        </w:rPr>
        <w:t>a number of</w:t>
      </w:r>
      <w:proofErr w:type="gramEnd"/>
      <w:r w:rsidRPr="006B364B">
        <w:rPr>
          <w:rFonts w:ascii="Tahoma" w:hAnsi="Tahoma" w:cs="Tahoma"/>
          <w:color w:val="212121"/>
          <w:shd w:val="clear" w:color="auto" w:fill="FFFFFF"/>
        </w:rPr>
        <w:t xml:space="preserve"> “dangerous” and narrow bends within all three villages.</w:t>
      </w:r>
    </w:p>
    <w:p w:rsidR="00043952" w:rsidRDefault="00043952" w:rsidP="00043952">
      <w:pPr>
        <w:jc w:val="both"/>
        <w:rPr>
          <w:rFonts w:ascii="Tahoma" w:hAnsi="Tahoma" w:cs="Tahoma"/>
          <w:color w:val="212121"/>
          <w:shd w:val="clear" w:color="auto" w:fill="FFFFFF"/>
        </w:rPr>
      </w:pPr>
      <w:r w:rsidRPr="006B364B">
        <w:rPr>
          <w:rFonts w:ascii="Tahoma" w:hAnsi="Tahoma" w:cs="Tahoma"/>
          <w:color w:val="212121"/>
          <w:shd w:val="clear" w:color="auto" w:fill="FFFFFF"/>
        </w:rPr>
        <w:t xml:space="preserve">We also </w:t>
      </w:r>
      <w:r>
        <w:rPr>
          <w:rFonts w:ascii="Tahoma" w:hAnsi="Tahoma" w:cs="Tahoma"/>
          <w:color w:val="212121"/>
          <w:shd w:val="clear" w:color="auto" w:fill="FFFFFF"/>
        </w:rPr>
        <w:t xml:space="preserve">wish to </w:t>
      </w:r>
      <w:r w:rsidRPr="006B364B">
        <w:rPr>
          <w:rFonts w:ascii="Tahoma" w:hAnsi="Tahoma" w:cs="Tahoma"/>
          <w:color w:val="212121"/>
          <w:shd w:val="clear" w:color="auto" w:fill="FFFFFF"/>
        </w:rPr>
        <w:t xml:space="preserve">express our concerns about how we got to our current position. </w:t>
      </w:r>
      <w:r w:rsidRPr="00EC7D52">
        <w:rPr>
          <w:rFonts w:ascii="Tahoma" w:hAnsi="Tahoma" w:cs="Tahoma"/>
          <w:b/>
          <w:color w:val="212121"/>
          <w:shd w:val="clear" w:color="auto" w:fill="FFFFFF"/>
        </w:rPr>
        <w:t>We were not aware until the spring of 2017</w:t>
      </w:r>
      <w:r w:rsidRPr="006B364B">
        <w:rPr>
          <w:rFonts w:ascii="Tahoma" w:hAnsi="Tahoma" w:cs="Tahoma"/>
          <w:color w:val="212121"/>
          <w:shd w:val="clear" w:color="auto" w:fill="FFFFFF"/>
        </w:rPr>
        <w:t xml:space="preserve"> (mid</w:t>
      </w:r>
      <w:r>
        <w:rPr>
          <w:rFonts w:ascii="Tahoma" w:hAnsi="Tahoma" w:cs="Tahoma"/>
          <w:color w:val="212121"/>
          <w:shd w:val="clear" w:color="auto" w:fill="FFFFFF"/>
        </w:rPr>
        <w:t>-</w:t>
      </w:r>
      <w:r w:rsidRPr="006B364B">
        <w:rPr>
          <w:rFonts w:ascii="Tahoma" w:hAnsi="Tahoma" w:cs="Tahoma"/>
          <w:color w:val="212121"/>
          <w:shd w:val="clear" w:color="auto" w:fill="FFFFFF"/>
        </w:rPr>
        <w:t>March) o</w:t>
      </w:r>
      <w:r>
        <w:rPr>
          <w:rFonts w:ascii="Tahoma" w:hAnsi="Tahoma" w:cs="Tahoma"/>
          <w:color w:val="212121"/>
          <w:shd w:val="clear" w:color="auto" w:fill="FFFFFF"/>
        </w:rPr>
        <w:t xml:space="preserve">f the new proposal and this has </w:t>
      </w:r>
      <w:r w:rsidRPr="006B364B">
        <w:rPr>
          <w:rFonts w:ascii="Tahoma" w:hAnsi="Tahoma" w:cs="Tahoma"/>
          <w:color w:val="212121"/>
          <w:shd w:val="clear" w:color="auto" w:fill="FFFFFF"/>
        </w:rPr>
        <w:t>caused considerable distress and division within our community: we echo the sense that this process has been ‘done to us’ rather t</w:t>
      </w:r>
      <w:r>
        <w:rPr>
          <w:rFonts w:ascii="Tahoma" w:hAnsi="Tahoma" w:cs="Tahoma"/>
          <w:color w:val="212121"/>
          <w:shd w:val="clear" w:color="auto" w:fill="FFFFFF"/>
        </w:rPr>
        <w:t xml:space="preserve">han as a process ‘with us’. </w:t>
      </w:r>
      <w:r w:rsidRPr="006B364B">
        <w:rPr>
          <w:rFonts w:ascii="Tahoma" w:hAnsi="Tahoma" w:cs="Tahoma"/>
          <w:color w:val="212121"/>
          <w:shd w:val="clear" w:color="auto" w:fill="FFFFFF"/>
        </w:rPr>
        <w:t xml:space="preserve">This has only confused </w:t>
      </w:r>
      <w:proofErr w:type="gramStart"/>
      <w:r w:rsidRPr="006B364B">
        <w:rPr>
          <w:rFonts w:ascii="Tahoma" w:hAnsi="Tahoma" w:cs="Tahoma"/>
          <w:color w:val="212121"/>
          <w:shd w:val="clear" w:color="auto" w:fill="FFFFFF"/>
        </w:rPr>
        <w:t>local residents</w:t>
      </w:r>
      <w:proofErr w:type="gramEnd"/>
      <w:r w:rsidRPr="006B364B">
        <w:rPr>
          <w:rFonts w:ascii="Tahoma" w:hAnsi="Tahoma" w:cs="Tahoma"/>
          <w:color w:val="212121"/>
          <w:shd w:val="clear" w:color="auto" w:fill="FFFFFF"/>
        </w:rPr>
        <w:t>, leaving them feeling divided, insecure and believing that what is proposed is against the fundamental aims and vision of the SDNP. This confusion we believe is the direct result of the way in which this proposal suddenly ‘landed’ in our village without proper process or in our view, without following published process</w:t>
      </w:r>
      <w:r>
        <w:rPr>
          <w:rFonts w:ascii="Tahoma" w:hAnsi="Tahoma" w:cs="Tahoma"/>
          <w:color w:val="212121"/>
          <w:shd w:val="clear" w:color="auto" w:fill="FFFFFF"/>
        </w:rPr>
        <w:t>.</w:t>
      </w:r>
    </w:p>
    <w:p w:rsidR="00043952" w:rsidRDefault="00043952" w:rsidP="00043952">
      <w:pPr>
        <w:jc w:val="both"/>
        <w:rPr>
          <w:rFonts w:ascii="Tahoma" w:hAnsi="Tahoma" w:cs="Tahoma"/>
          <w:color w:val="212121"/>
          <w:shd w:val="clear" w:color="auto" w:fill="FFFFFF"/>
        </w:rPr>
      </w:pPr>
      <w:r w:rsidRPr="006B364B">
        <w:rPr>
          <w:rFonts w:ascii="Tahoma" w:hAnsi="Tahoma" w:cs="Tahoma"/>
          <w:color w:val="212121"/>
          <w:shd w:val="clear" w:color="auto" w:fill="FFFFFF"/>
        </w:rPr>
        <w:t>In addition, there remains the difficult question about how any sites were initially identified, quite apart from the subsequent ownership conflict which has arisen. The Parish has no knowledge of any public and transparent process by which sites might have been identified in the months preceding the first communication we received in mid</w:t>
      </w:r>
      <w:r>
        <w:rPr>
          <w:rFonts w:ascii="Tahoma" w:hAnsi="Tahoma" w:cs="Tahoma"/>
          <w:color w:val="212121"/>
          <w:shd w:val="clear" w:color="auto" w:fill="FFFFFF"/>
        </w:rPr>
        <w:t>-</w:t>
      </w:r>
      <w:r w:rsidRPr="006B364B">
        <w:rPr>
          <w:rFonts w:ascii="Tahoma" w:hAnsi="Tahoma" w:cs="Tahoma"/>
          <w:color w:val="212121"/>
          <w:shd w:val="clear" w:color="auto" w:fill="FFFFFF"/>
        </w:rPr>
        <w:t>March. The question as to how this occurred still needs, in our view, to be satisfactorily answered by the SDNPA.</w:t>
      </w:r>
    </w:p>
    <w:p w:rsidR="00043952" w:rsidRDefault="00043952" w:rsidP="00043952">
      <w:pPr>
        <w:jc w:val="both"/>
        <w:rPr>
          <w:rFonts w:ascii="Tahoma" w:hAnsi="Tahoma" w:cs="Tahoma"/>
          <w:color w:val="212121"/>
          <w:shd w:val="clear" w:color="auto" w:fill="FFFFFF"/>
        </w:rPr>
      </w:pPr>
      <w:r w:rsidRPr="006B364B">
        <w:rPr>
          <w:rFonts w:ascii="Tahoma" w:hAnsi="Tahoma" w:cs="Tahoma"/>
          <w:color w:val="212121"/>
          <w:shd w:val="clear" w:color="auto" w:fill="FFFFFF"/>
        </w:rPr>
        <w:t>In conclusion we would like to emphasise that we recognise the challenges faced by us all when considering housing provision. We look forward to working closely with the SDNPA in the future to put in place a meaningful an</w:t>
      </w:r>
      <w:r>
        <w:rPr>
          <w:rFonts w:ascii="Tahoma" w:hAnsi="Tahoma" w:cs="Tahoma"/>
          <w:color w:val="212121"/>
          <w:shd w:val="clear" w:color="auto" w:fill="FFFFFF"/>
        </w:rPr>
        <w:t>d community supported proposal.</w:t>
      </w:r>
    </w:p>
    <w:p w:rsidR="00A766D2" w:rsidRDefault="00A766D2" w:rsidP="00357CC8">
      <w:pPr>
        <w:spacing w:after="0"/>
      </w:pPr>
    </w:p>
    <w:p w:rsidR="00357CC8" w:rsidRDefault="00357CC8" w:rsidP="00357CC8">
      <w:pPr>
        <w:spacing w:after="0"/>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357CC8" w:rsidRDefault="00357CC8" w:rsidP="00357CC8">
      <w:pPr>
        <w:spacing w:after="0"/>
        <w:rPr>
          <w:rFonts w:ascii="Times New Roman" w:hAnsi="Times New Roman" w:cs="Times New Roman"/>
          <w:b/>
          <w:sz w:val="32"/>
          <w:szCs w:val="32"/>
          <w:highlight w:val="yellow"/>
          <w:u w:val="single"/>
        </w:rPr>
      </w:pPr>
      <w:r w:rsidRPr="004A24C6">
        <w:rPr>
          <w:rFonts w:ascii="Times New Roman" w:hAnsi="Times New Roman" w:cs="Times New Roman"/>
          <w:b/>
          <w:sz w:val="32"/>
          <w:szCs w:val="32"/>
          <w:highlight w:val="yellow"/>
          <w:u w:val="single"/>
        </w:rPr>
        <w:lastRenderedPageBreak/>
        <w:t>APPENDIX</w:t>
      </w:r>
      <w:r>
        <w:rPr>
          <w:rFonts w:ascii="Times New Roman" w:hAnsi="Times New Roman" w:cs="Times New Roman"/>
          <w:b/>
          <w:sz w:val="32"/>
          <w:szCs w:val="32"/>
          <w:highlight w:val="yellow"/>
          <w:u w:val="single"/>
        </w:rPr>
        <w:t xml:space="preserve"> </w:t>
      </w:r>
      <w:r w:rsidRPr="009E4C41">
        <w:rPr>
          <w:rFonts w:ascii="Times New Roman" w:hAnsi="Times New Roman" w:cs="Times New Roman"/>
          <w:b/>
          <w:sz w:val="32"/>
          <w:szCs w:val="32"/>
          <w:highlight w:val="yellow"/>
          <w:u w:val="single"/>
        </w:rPr>
        <w:t>B</w:t>
      </w:r>
    </w:p>
    <w:p w:rsidR="008248CC" w:rsidRDefault="00043952">
      <w:pPr>
        <w:rPr>
          <w:rFonts w:ascii="Times New Roman" w:hAnsi="Times New Roman" w:cs="Times New Roman"/>
          <w:b/>
          <w:sz w:val="32"/>
          <w:szCs w:val="32"/>
          <w:highlight w:val="yellow"/>
          <w:u w:val="single"/>
        </w:rPr>
      </w:pPr>
      <w:r w:rsidRPr="00043952">
        <w:drawing>
          <wp:inline distT="0" distB="0" distL="0" distR="0">
            <wp:extent cx="4396197" cy="88011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2237" cy="8813192"/>
                    </a:xfrm>
                    <a:prstGeom prst="rect">
                      <a:avLst/>
                    </a:prstGeom>
                    <a:noFill/>
                    <a:ln>
                      <a:noFill/>
                    </a:ln>
                  </pic:spPr>
                </pic:pic>
              </a:graphicData>
            </a:graphic>
          </wp:inline>
        </w:drawing>
      </w:r>
    </w:p>
    <w:p w:rsidR="00043952" w:rsidRDefault="00043952">
      <w:pPr>
        <w:rPr>
          <w:rFonts w:ascii="Times New Roman" w:hAnsi="Times New Roman" w:cs="Times New Roman"/>
          <w:b/>
          <w:sz w:val="32"/>
          <w:szCs w:val="32"/>
          <w:highlight w:val="yellow"/>
          <w:u w:val="single"/>
        </w:rPr>
      </w:pPr>
      <w:r w:rsidRPr="00043952">
        <w:lastRenderedPageBreak/>
        <w:drawing>
          <wp:inline distT="0" distB="0" distL="0" distR="0">
            <wp:extent cx="5016443" cy="7820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2489" cy="7829450"/>
                    </a:xfrm>
                    <a:prstGeom prst="rect">
                      <a:avLst/>
                    </a:prstGeom>
                    <a:noFill/>
                    <a:ln>
                      <a:noFill/>
                    </a:ln>
                  </pic:spPr>
                </pic:pic>
              </a:graphicData>
            </a:graphic>
          </wp:inline>
        </w:drawing>
      </w:r>
    </w:p>
    <w:p w:rsidR="00043952" w:rsidRDefault="00043952">
      <w:pPr>
        <w:rPr>
          <w:rFonts w:ascii="Times New Roman" w:hAnsi="Times New Roman" w:cs="Times New Roman"/>
          <w:b/>
          <w:sz w:val="32"/>
          <w:szCs w:val="32"/>
          <w:highlight w:val="yellow"/>
          <w:u w:val="single"/>
        </w:rPr>
      </w:pPr>
      <w:r>
        <w:rPr>
          <w:rFonts w:ascii="Times New Roman" w:hAnsi="Times New Roman" w:cs="Times New Roman"/>
          <w:b/>
          <w:sz w:val="32"/>
          <w:szCs w:val="32"/>
          <w:highlight w:val="yellow"/>
          <w:u w:val="single"/>
        </w:rPr>
        <w:br w:type="page"/>
      </w:r>
    </w:p>
    <w:p w:rsidR="00043952" w:rsidRDefault="00043952" w:rsidP="00043952">
      <w:pPr>
        <w:spacing w:after="0"/>
        <w:rPr>
          <w:rFonts w:ascii="Times New Roman" w:hAnsi="Times New Roman" w:cs="Times New Roman"/>
          <w:b/>
          <w:sz w:val="32"/>
          <w:szCs w:val="32"/>
          <w:highlight w:val="yellow"/>
          <w:u w:val="single"/>
        </w:rPr>
      </w:pPr>
      <w:r w:rsidRPr="004A24C6">
        <w:rPr>
          <w:rFonts w:ascii="Times New Roman" w:hAnsi="Times New Roman" w:cs="Times New Roman"/>
          <w:b/>
          <w:sz w:val="32"/>
          <w:szCs w:val="32"/>
          <w:highlight w:val="yellow"/>
          <w:u w:val="single"/>
        </w:rPr>
        <w:lastRenderedPageBreak/>
        <w:t>APPENDIX</w:t>
      </w:r>
      <w:r>
        <w:rPr>
          <w:rFonts w:ascii="Times New Roman" w:hAnsi="Times New Roman" w:cs="Times New Roman"/>
          <w:b/>
          <w:sz w:val="32"/>
          <w:szCs w:val="32"/>
          <w:highlight w:val="yellow"/>
          <w:u w:val="single"/>
        </w:rPr>
        <w:t xml:space="preserve"> </w:t>
      </w:r>
      <w:r>
        <w:rPr>
          <w:rFonts w:ascii="Times New Roman" w:hAnsi="Times New Roman" w:cs="Times New Roman"/>
          <w:b/>
          <w:sz w:val="32"/>
          <w:szCs w:val="32"/>
          <w:highlight w:val="yellow"/>
          <w:u w:val="single"/>
        </w:rPr>
        <w:t>C</w:t>
      </w:r>
    </w:p>
    <w:p w:rsidR="00357CC8" w:rsidRDefault="00043952">
      <w:pPr>
        <w:rPr>
          <w:rFonts w:ascii="Times New Roman" w:hAnsi="Times New Roman" w:cs="Times New Roman"/>
          <w:b/>
          <w:sz w:val="32"/>
          <w:szCs w:val="32"/>
          <w:highlight w:val="yellow"/>
          <w:u w:val="single"/>
        </w:rPr>
      </w:pPr>
      <w:r w:rsidRPr="00043952">
        <w:drawing>
          <wp:inline distT="0" distB="0" distL="0" distR="0">
            <wp:extent cx="4876800" cy="878180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4923" cy="8796435"/>
                    </a:xfrm>
                    <a:prstGeom prst="rect">
                      <a:avLst/>
                    </a:prstGeom>
                    <a:noFill/>
                    <a:ln>
                      <a:noFill/>
                    </a:ln>
                  </pic:spPr>
                </pic:pic>
              </a:graphicData>
            </a:graphic>
          </wp:inline>
        </w:drawing>
      </w:r>
    </w:p>
    <w:p w:rsidR="00043952" w:rsidRDefault="00043952">
      <w:pPr>
        <w:rPr>
          <w:rFonts w:ascii="Times New Roman" w:hAnsi="Times New Roman" w:cs="Times New Roman"/>
          <w:b/>
          <w:sz w:val="32"/>
          <w:szCs w:val="32"/>
          <w:highlight w:val="yellow"/>
          <w:u w:val="single"/>
        </w:rPr>
      </w:pPr>
      <w:bookmarkStart w:id="0" w:name="_GoBack"/>
      <w:r w:rsidRPr="00043952">
        <w:lastRenderedPageBreak/>
        <w:drawing>
          <wp:inline distT="0" distB="0" distL="0" distR="0">
            <wp:extent cx="5400675" cy="8934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8934450"/>
                    </a:xfrm>
                    <a:prstGeom prst="rect">
                      <a:avLst/>
                    </a:prstGeom>
                    <a:noFill/>
                    <a:ln>
                      <a:noFill/>
                    </a:ln>
                  </pic:spPr>
                </pic:pic>
              </a:graphicData>
            </a:graphic>
          </wp:inline>
        </w:drawing>
      </w:r>
      <w:bookmarkEnd w:id="0"/>
    </w:p>
    <w:sectPr w:rsidR="00043952" w:rsidSect="00426651">
      <w:headerReference w:type="default" r:id="rId11"/>
      <w:footerReference w:type="default" r:id="rId12"/>
      <w:pgSz w:w="11906" w:h="16838"/>
      <w:pgMar w:top="568" w:right="144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2DF" w:rsidRDefault="004602DF" w:rsidP="00E05A34">
      <w:pPr>
        <w:spacing w:after="0" w:line="240" w:lineRule="auto"/>
      </w:pPr>
      <w:r>
        <w:separator/>
      </w:r>
    </w:p>
  </w:endnote>
  <w:endnote w:type="continuationSeparator" w:id="0">
    <w:p w:rsidR="004602DF" w:rsidRDefault="004602DF" w:rsidP="00E05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324713"/>
      <w:docPartObj>
        <w:docPartGallery w:val="Page Numbers (Bottom of Page)"/>
        <w:docPartUnique/>
      </w:docPartObj>
    </w:sdtPr>
    <w:sdtEndPr>
      <w:rPr>
        <w:noProof/>
      </w:rPr>
    </w:sdtEndPr>
    <w:sdtContent>
      <w:p w:rsidR="00E05A34" w:rsidRDefault="00E05A34">
        <w:pPr>
          <w:pStyle w:val="Footer"/>
        </w:pPr>
        <w:r>
          <w:t>Page</w:t>
        </w:r>
        <w:r>
          <w:fldChar w:fldCharType="begin"/>
        </w:r>
        <w:r>
          <w:instrText xml:space="preserve"> PAGE   \* MERGEFORMAT </w:instrText>
        </w:r>
        <w:r>
          <w:fldChar w:fldCharType="separate"/>
        </w:r>
        <w:r w:rsidR="00BB51B7">
          <w:rPr>
            <w:noProof/>
          </w:rPr>
          <w:t>6</w:t>
        </w:r>
        <w:r>
          <w:rPr>
            <w:noProof/>
          </w:rPr>
          <w:fldChar w:fldCharType="end"/>
        </w:r>
      </w:p>
    </w:sdtContent>
  </w:sdt>
  <w:p w:rsidR="00E05A34" w:rsidRDefault="00E0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2DF" w:rsidRDefault="004602DF" w:rsidP="00E05A34">
      <w:pPr>
        <w:spacing w:after="0" w:line="240" w:lineRule="auto"/>
      </w:pPr>
      <w:r>
        <w:separator/>
      </w:r>
    </w:p>
  </w:footnote>
  <w:footnote w:type="continuationSeparator" w:id="0">
    <w:p w:rsidR="004602DF" w:rsidRDefault="004602DF" w:rsidP="00E05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A34" w:rsidRDefault="00E05A34">
    <w:pPr>
      <w:pStyle w:val="Header"/>
    </w:pPr>
    <w:r>
      <w:t xml:space="preserve">APPENDIX FOR </w:t>
    </w:r>
    <w:r w:rsidR="00A766D2">
      <w:t>1</w:t>
    </w:r>
    <w:r w:rsidR="00BB51B7">
      <w:t>4</w:t>
    </w:r>
    <w:r w:rsidR="00A766D2" w:rsidRPr="00A766D2">
      <w:rPr>
        <w:vertAlign w:val="superscript"/>
      </w:rPr>
      <w:t>th</w:t>
    </w:r>
    <w:r w:rsidR="00A766D2">
      <w:t xml:space="preserve"> </w:t>
    </w:r>
    <w:r w:rsidR="00BB51B7">
      <w:t>NOVEMBER</w:t>
    </w:r>
    <w:r w:rsidR="00357CC8">
      <w:t xml:space="preserve"> ME</w:t>
    </w:r>
    <w:r>
      <w:t>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4D59"/>
    <w:multiLevelType w:val="hybridMultilevel"/>
    <w:tmpl w:val="1FC07A02"/>
    <w:lvl w:ilvl="0" w:tplc="00050409">
      <w:start w:val="1"/>
      <w:numFmt w:val="bullet"/>
      <w:lvlText w:val=""/>
      <w:lvlJc w:val="left"/>
      <w:pPr>
        <w:tabs>
          <w:tab w:val="num" w:pos="1152"/>
        </w:tabs>
        <w:ind w:left="1152" w:hanging="360"/>
      </w:pPr>
      <w:rPr>
        <w:rFonts w:ascii="Wingdings" w:hAnsi="Wingdings" w:hint="default"/>
      </w:rPr>
    </w:lvl>
    <w:lvl w:ilvl="1" w:tplc="00030409" w:tentative="1">
      <w:start w:val="1"/>
      <w:numFmt w:val="bullet"/>
      <w:lvlText w:val="o"/>
      <w:lvlJc w:val="left"/>
      <w:pPr>
        <w:tabs>
          <w:tab w:val="num" w:pos="1872"/>
        </w:tabs>
        <w:ind w:left="1872" w:hanging="360"/>
      </w:pPr>
      <w:rPr>
        <w:rFonts w:ascii="Courier New" w:hAnsi="Courier New" w:hint="default"/>
      </w:rPr>
    </w:lvl>
    <w:lvl w:ilvl="2" w:tplc="00050409" w:tentative="1">
      <w:start w:val="1"/>
      <w:numFmt w:val="bullet"/>
      <w:lvlText w:val=""/>
      <w:lvlJc w:val="left"/>
      <w:pPr>
        <w:tabs>
          <w:tab w:val="num" w:pos="2592"/>
        </w:tabs>
        <w:ind w:left="2592" w:hanging="360"/>
      </w:pPr>
      <w:rPr>
        <w:rFonts w:ascii="Wingdings" w:hAnsi="Wingdings" w:hint="default"/>
      </w:rPr>
    </w:lvl>
    <w:lvl w:ilvl="3" w:tplc="00010409" w:tentative="1">
      <w:start w:val="1"/>
      <w:numFmt w:val="bullet"/>
      <w:lvlText w:val=""/>
      <w:lvlJc w:val="left"/>
      <w:pPr>
        <w:tabs>
          <w:tab w:val="num" w:pos="3312"/>
        </w:tabs>
        <w:ind w:left="3312" w:hanging="360"/>
      </w:pPr>
      <w:rPr>
        <w:rFonts w:ascii="Symbol" w:hAnsi="Symbol" w:hint="default"/>
      </w:rPr>
    </w:lvl>
    <w:lvl w:ilvl="4" w:tplc="00030409" w:tentative="1">
      <w:start w:val="1"/>
      <w:numFmt w:val="bullet"/>
      <w:lvlText w:val="o"/>
      <w:lvlJc w:val="left"/>
      <w:pPr>
        <w:tabs>
          <w:tab w:val="num" w:pos="4032"/>
        </w:tabs>
        <w:ind w:left="4032" w:hanging="360"/>
      </w:pPr>
      <w:rPr>
        <w:rFonts w:ascii="Courier New" w:hAnsi="Courier New" w:hint="default"/>
      </w:rPr>
    </w:lvl>
    <w:lvl w:ilvl="5" w:tplc="00050409" w:tentative="1">
      <w:start w:val="1"/>
      <w:numFmt w:val="bullet"/>
      <w:lvlText w:val=""/>
      <w:lvlJc w:val="left"/>
      <w:pPr>
        <w:tabs>
          <w:tab w:val="num" w:pos="4752"/>
        </w:tabs>
        <w:ind w:left="4752" w:hanging="360"/>
      </w:pPr>
      <w:rPr>
        <w:rFonts w:ascii="Wingdings" w:hAnsi="Wingdings" w:hint="default"/>
      </w:rPr>
    </w:lvl>
    <w:lvl w:ilvl="6" w:tplc="00010409" w:tentative="1">
      <w:start w:val="1"/>
      <w:numFmt w:val="bullet"/>
      <w:lvlText w:val=""/>
      <w:lvlJc w:val="left"/>
      <w:pPr>
        <w:tabs>
          <w:tab w:val="num" w:pos="5472"/>
        </w:tabs>
        <w:ind w:left="5472" w:hanging="360"/>
      </w:pPr>
      <w:rPr>
        <w:rFonts w:ascii="Symbol" w:hAnsi="Symbol" w:hint="default"/>
      </w:rPr>
    </w:lvl>
    <w:lvl w:ilvl="7" w:tplc="00030409" w:tentative="1">
      <w:start w:val="1"/>
      <w:numFmt w:val="bullet"/>
      <w:lvlText w:val="o"/>
      <w:lvlJc w:val="left"/>
      <w:pPr>
        <w:tabs>
          <w:tab w:val="num" w:pos="6192"/>
        </w:tabs>
        <w:ind w:left="6192" w:hanging="360"/>
      </w:pPr>
      <w:rPr>
        <w:rFonts w:ascii="Courier New" w:hAnsi="Courier New" w:hint="default"/>
      </w:rPr>
    </w:lvl>
    <w:lvl w:ilvl="8" w:tplc="00050409"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13887504"/>
    <w:multiLevelType w:val="hybridMultilevel"/>
    <w:tmpl w:val="8B420E1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15:restartNumberingAfterBreak="0">
    <w:nsid w:val="154A61AC"/>
    <w:multiLevelType w:val="hybridMultilevel"/>
    <w:tmpl w:val="0854CD00"/>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 w15:restartNumberingAfterBreak="0">
    <w:nsid w:val="34C35096"/>
    <w:multiLevelType w:val="hybridMultilevel"/>
    <w:tmpl w:val="3F9821AE"/>
    <w:lvl w:ilvl="0" w:tplc="618CCCAA">
      <w:start w:val="1"/>
      <w:numFmt w:val="lowerLetter"/>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9A2C2C"/>
    <w:multiLevelType w:val="hybridMultilevel"/>
    <w:tmpl w:val="5ADAD708"/>
    <w:lvl w:ilvl="0" w:tplc="0D64FEC0">
      <w:start w:val="43"/>
      <w:numFmt w:val="decimal"/>
      <w:lvlText w:val="%1."/>
      <w:lvlJc w:val="left"/>
      <w:pPr>
        <w:tabs>
          <w:tab w:val="num" w:pos="720"/>
        </w:tabs>
        <w:ind w:left="720" w:hanging="360"/>
      </w:pPr>
      <w:rPr>
        <w:rFonts w:hint="default"/>
      </w:rPr>
    </w:lvl>
    <w:lvl w:ilvl="1" w:tplc="618CCCAA">
      <w:start w:val="1"/>
      <w:numFmt w:val="lowerLetter"/>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FD53B9"/>
    <w:multiLevelType w:val="hybridMultilevel"/>
    <w:tmpl w:val="EF6CC2BE"/>
    <w:lvl w:ilvl="0" w:tplc="00170409">
      <w:start w:val="1"/>
      <w:numFmt w:val="lowerLetter"/>
      <w:lvlText w:val="%1)"/>
      <w:lvlJc w:val="left"/>
      <w:pPr>
        <w:tabs>
          <w:tab w:val="num" w:pos="900"/>
        </w:tabs>
        <w:ind w:left="90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502853BA"/>
    <w:multiLevelType w:val="hybridMultilevel"/>
    <w:tmpl w:val="754683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9611B"/>
    <w:multiLevelType w:val="hybridMultilevel"/>
    <w:tmpl w:val="242E45CA"/>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A045B20"/>
    <w:multiLevelType w:val="hybridMultilevel"/>
    <w:tmpl w:val="3F9821AE"/>
    <w:lvl w:ilvl="0" w:tplc="618CCCAA">
      <w:start w:val="1"/>
      <w:numFmt w:val="lowerLetter"/>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7"/>
  </w:num>
  <w:num w:numId="5">
    <w:abstractNumId w:val="5"/>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34"/>
    <w:rsid w:val="00043952"/>
    <w:rsid w:val="00103FDC"/>
    <w:rsid w:val="00112460"/>
    <w:rsid w:val="00112C2F"/>
    <w:rsid w:val="00133FE7"/>
    <w:rsid w:val="00160068"/>
    <w:rsid w:val="00190055"/>
    <w:rsid w:val="00196C16"/>
    <w:rsid w:val="001E57AB"/>
    <w:rsid w:val="001E7E0B"/>
    <w:rsid w:val="002566F5"/>
    <w:rsid w:val="00264B92"/>
    <w:rsid w:val="00264DA3"/>
    <w:rsid w:val="002806C7"/>
    <w:rsid w:val="002905F5"/>
    <w:rsid w:val="002935C6"/>
    <w:rsid w:val="002B27FD"/>
    <w:rsid w:val="002B704B"/>
    <w:rsid w:val="002C0968"/>
    <w:rsid w:val="002F2D51"/>
    <w:rsid w:val="002F4203"/>
    <w:rsid w:val="002F6066"/>
    <w:rsid w:val="00312952"/>
    <w:rsid w:val="00357CC8"/>
    <w:rsid w:val="00363BC1"/>
    <w:rsid w:val="003A6B25"/>
    <w:rsid w:val="003D1D26"/>
    <w:rsid w:val="004017EE"/>
    <w:rsid w:val="00417CB8"/>
    <w:rsid w:val="00426651"/>
    <w:rsid w:val="004602DF"/>
    <w:rsid w:val="0047055A"/>
    <w:rsid w:val="00487ADA"/>
    <w:rsid w:val="004A21DC"/>
    <w:rsid w:val="004B15C9"/>
    <w:rsid w:val="004D2AD4"/>
    <w:rsid w:val="004D7785"/>
    <w:rsid w:val="004E2CC1"/>
    <w:rsid w:val="00515897"/>
    <w:rsid w:val="00516601"/>
    <w:rsid w:val="00557165"/>
    <w:rsid w:val="00580D9E"/>
    <w:rsid w:val="005869F3"/>
    <w:rsid w:val="005A588C"/>
    <w:rsid w:val="00624ACB"/>
    <w:rsid w:val="00641E41"/>
    <w:rsid w:val="006866A5"/>
    <w:rsid w:val="006C7BB9"/>
    <w:rsid w:val="006D10B1"/>
    <w:rsid w:val="006E5D02"/>
    <w:rsid w:val="00751074"/>
    <w:rsid w:val="007A02C4"/>
    <w:rsid w:val="007E7765"/>
    <w:rsid w:val="007F41C9"/>
    <w:rsid w:val="00821BFD"/>
    <w:rsid w:val="00823CA6"/>
    <w:rsid w:val="008248CC"/>
    <w:rsid w:val="00826A98"/>
    <w:rsid w:val="00865730"/>
    <w:rsid w:val="008E13DE"/>
    <w:rsid w:val="009058F7"/>
    <w:rsid w:val="0090761F"/>
    <w:rsid w:val="00930DCE"/>
    <w:rsid w:val="00943AE3"/>
    <w:rsid w:val="00944109"/>
    <w:rsid w:val="00975D01"/>
    <w:rsid w:val="00990862"/>
    <w:rsid w:val="009D603D"/>
    <w:rsid w:val="009E4C41"/>
    <w:rsid w:val="009F1B84"/>
    <w:rsid w:val="00A36563"/>
    <w:rsid w:val="00A57765"/>
    <w:rsid w:val="00A766D2"/>
    <w:rsid w:val="00AA0AF3"/>
    <w:rsid w:val="00AB174C"/>
    <w:rsid w:val="00B115D0"/>
    <w:rsid w:val="00B3535B"/>
    <w:rsid w:val="00B35E00"/>
    <w:rsid w:val="00B618A4"/>
    <w:rsid w:val="00BB51B7"/>
    <w:rsid w:val="00BB72D4"/>
    <w:rsid w:val="00BE49A7"/>
    <w:rsid w:val="00C053EC"/>
    <w:rsid w:val="00C73061"/>
    <w:rsid w:val="00C75409"/>
    <w:rsid w:val="00CB5EB9"/>
    <w:rsid w:val="00CC4A8A"/>
    <w:rsid w:val="00CC742D"/>
    <w:rsid w:val="00CF0607"/>
    <w:rsid w:val="00CF5C2C"/>
    <w:rsid w:val="00D00DE6"/>
    <w:rsid w:val="00D10DC5"/>
    <w:rsid w:val="00D3281A"/>
    <w:rsid w:val="00D47F80"/>
    <w:rsid w:val="00D67EED"/>
    <w:rsid w:val="00D8206B"/>
    <w:rsid w:val="00D83C03"/>
    <w:rsid w:val="00DB32DA"/>
    <w:rsid w:val="00DF21A2"/>
    <w:rsid w:val="00E05A34"/>
    <w:rsid w:val="00E0679D"/>
    <w:rsid w:val="00E27225"/>
    <w:rsid w:val="00E6714F"/>
    <w:rsid w:val="00E67F8E"/>
    <w:rsid w:val="00E822AC"/>
    <w:rsid w:val="00EA08AD"/>
    <w:rsid w:val="00EC4922"/>
    <w:rsid w:val="00EE15EE"/>
    <w:rsid w:val="00F06247"/>
    <w:rsid w:val="00F21389"/>
    <w:rsid w:val="00F56812"/>
    <w:rsid w:val="00FA28A4"/>
    <w:rsid w:val="00FB294A"/>
    <w:rsid w:val="00FC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B528"/>
  <w15:docId w15:val="{3A212F89-F2D7-4DD0-8E21-9C98498D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57CC8"/>
    <w:pPr>
      <w:keepNext/>
      <w:widowControl w:val="0"/>
      <w:shd w:val="clear" w:color="auto" w:fill="FFFFFF"/>
      <w:tabs>
        <w:tab w:val="left" w:pos="0"/>
      </w:tabs>
      <w:autoSpaceDE w:val="0"/>
      <w:autoSpaceDN w:val="0"/>
      <w:adjustRightInd w:val="0"/>
      <w:spacing w:before="226" w:after="0" w:line="240" w:lineRule="auto"/>
      <w:ind w:left="360"/>
      <w:jc w:val="center"/>
      <w:outlineLvl w:val="0"/>
    </w:pPr>
    <w:rPr>
      <w:rFonts w:ascii="Times New Roman" w:eastAsia="Times New Roman" w:hAnsi="Times New Roman" w:cs="Times New Roman"/>
      <w:b/>
      <w:color w:val="000000"/>
      <w:spacing w:val="-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34"/>
    <w:rPr>
      <w:rFonts w:ascii="Tahoma" w:hAnsi="Tahoma" w:cs="Tahoma"/>
      <w:sz w:val="16"/>
      <w:szCs w:val="16"/>
    </w:rPr>
  </w:style>
  <w:style w:type="paragraph" w:styleId="Header">
    <w:name w:val="header"/>
    <w:basedOn w:val="Normal"/>
    <w:link w:val="HeaderChar"/>
    <w:uiPriority w:val="99"/>
    <w:unhideWhenUsed/>
    <w:rsid w:val="00E05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A34"/>
  </w:style>
  <w:style w:type="paragraph" w:styleId="Footer">
    <w:name w:val="footer"/>
    <w:basedOn w:val="Normal"/>
    <w:link w:val="FooterChar"/>
    <w:uiPriority w:val="99"/>
    <w:unhideWhenUsed/>
    <w:rsid w:val="00E05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A34"/>
  </w:style>
  <w:style w:type="paragraph" w:styleId="NoSpacing">
    <w:name w:val="No Spacing"/>
    <w:uiPriority w:val="1"/>
    <w:qFormat/>
    <w:rsid w:val="00E27225"/>
    <w:pPr>
      <w:spacing w:after="0" w:line="240" w:lineRule="auto"/>
    </w:pPr>
    <w:rPr>
      <w:rFonts w:eastAsiaTheme="minorEastAsia"/>
      <w:lang w:eastAsia="en-GB"/>
    </w:rPr>
  </w:style>
  <w:style w:type="paragraph" w:styleId="NormalWeb">
    <w:name w:val="Normal (Web)"/>
    <w:basedOn w:val="Normal"/>
    <w:uiPriority w:val="99"/>
    <w:semiHidden/>
    <w:unhideWhenUsed/>
    <w:rsid w:val="00E272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7225"/>
    <w:pPr>
      <w:ind w:left="720"/>
      <w:contextualSpacing/>
    </w:pPr>
    <w:rPr>
      <w:rFonts w:eastAsiaTheme="minorEastAsia"/>
      <w:lang w:eastAsia="en-GB"/>
    </w:rPr>
  </w:style>
  <w:style w:type="paragraph" w:styleId="Title">
    <w:name w:val="Title"/>
    <w:basedOn w:val="Normal"/>
    <w:link w:val="TitleChar"/>
    <w:qFormat/>
    <w:rsid w:val="00BE49A7"/>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itleChar">
    <w:name w:val="Title Char"/>
    <w:basedOn w:val="DefaultParagraphFont"/>
    <w:link w:val="Title"/>
    <w:rsid w:val="00BE49A7"/>
    <w:rPr>
      <w:rFonts w:ascii="Times New Roman" w:eastAsia="Times New Roman" w:hAnsi="Times New Roman" w:cs="Times New Roman"/>
      <w:b/>
      <w:sz w:val="28"/>
      <w:szCs w:val="20"/>
      <w:lang w:eastAsia="ar-SA"/>
    </w:rPr>
  </w:style>
  <w:style w:type="character" w:customStyle="1" w:styleId="Heading1Char">
    <w:name w:val="Heading 1 Char"/>
    <w:basedOn w:val="DefaultParagraphFont"/>
    <w:link w:val="Heading1"/>
    <w:rsid w:val="00357CC8"/>
    <w:rPr>
      <w:rFonts w:ascii="Times New Roman" w:eastAsia="Times New Roman" w:hAnsi="Times New Roman" w:cs="Times New Roman"/>
      <w:b/>
      <w:color w:val="000000"/>
      <w:spacing w:val="-4"/>
      <w:sz w:val="20"/>
      <w:szCs w:val="20"/>
      <w:shd w:val="clear" w:color="auto" w:fill="FFFFFF"/>
    </w:rPr>
  </w:style>
  <w:style w:type="character" w:customStyle="1" w:styleId="apple-converted-space">
    <w:name w:val="apple-converted-space"/>
    <w:basedOn w:val="DefaultParagraphFont"/>
    <w:uiPriority w:val="99"/>
    <w:rsid w:val="000439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9034">
      <w:bodyDiv w:val="1"/>
      <w:marLeft w:val="0"/>
      <w:marRight w:val="0"/>
      <w:marTop w:val="0"/>
      <w:marBottom w:val="0"/>
      <w:divBdr>
        <w:top w:val="none" w:sz="0" w:space="0" w:color="auto"/>
        <w:left w:val="none" w:sz="0" w:space="0" w:color="auto"/>
        <w:bottom w:val="none" w:sz="0" w:space="0" w:color="auto"/>
        <w:right w:val="none" w:sz="0" w:space="0" w:color="auto"/>
      </w:divBdr>
    </w:div>
    <w:div w:id="446898096">
      <w:bodyDiv w:val="1"/>
      <w:marLeft w:val="0"/>
      <w:marRight w:val="0"/>
      <w:marTop w:val="0"/>
      <w:marBottom w:val="0"/>
      <w:divBdr>
        <w:top w:val="none" w:sz="0" w:space="0" w:color="auto"/>
        <w:left w:val="none" w:sz="0" w:space="0" w:color="auto"/>
        <w:bottom w:val="none" w:sz="0" w:space="0" w:color="auto"/>
        <w:right w:val="none" w:sz="0" w:space="0" w:color="auto"/>
      </w:divBdr>
    </w:div>
    <w:div w:id="817957295">
      <w:bodyDiv w:val="1"/>
      <w:marLeft w:val="0"/>
      <w:marRight w:val="0"/>
      <w:marTop w:val="0"/>
      <w:marBottom w:val="0"/>
      <w:divBdr>
        <w:top w:val="none" w:sz="0" w:space="0" w:color="auto"/>
        <w:left w:val="none" w:sz="0" w:space="0" w:color="auto"/>
        <w:bottom w:val="none" w:sz="0" w:space="0" w:color="auto"/>
        <w:right w:val="none" w:sz="0" w:space="0" w:color="auto"/>
      </w:divBdr>
    </w:div>
    <w:div w:id="939029996">
      <w:bodyDiv w:val="1"/>
      <w:marLeft w:val="0"/>
      <w:marRight w:val="0"/>
      <w:marTop w:val="0"/>
      <w:marBottom w:val="0"/>
      <w:divBdr>
        <w:top w:val="none" w:sz="0" w:space="0" w:color="auto"/>
        <w:left w:val="none" w:sz="0" w:space="0" w:color="auto"/>
        <w:bottom w:val="none" w:sz="0" w:space="0" w:color="auto"/>
        <w:right w:val="none" w:sz="0" w:space="0" w:color="auto"/>
      </w:divBdr>
    </w:div>
    <w:div w:id="998996261">
      <w:bodyDiv w:val="1"/>
      <w:marLeft w:val="0"/>
      <w:marRight w:val="0"/>
      <w:marTop w:val="0"/>
      <w:marBottom w:val="0"/>
      <w:divBdr>
        <w:top w:val="none" w:sz="0" w:space="0" w:color="auto"/>
        <w:left w:val="none" w:sz="0" w:space="0" w:color="auto"/>
        <w:bottom w:val="none" w:sz="0" w:space="0" w:color="auto"/>
        <w:right w:val="none" w:sz="0" w:space="0" w:color="auto"/>
      </w:divBdr>
    </w:div>
    <w:div w:id="1029066620">
      <w:bodyDiv w:val="1"/>
      <w:marLeft w:val="0"/>
      <w:marRight w:val="0"/>
      <w:marTop w:val="0"/>
      <w:marBottom w:val="0"/>
      <w:divBdr>
        <w:top w:val="none" w:sz="0" w:space="0" w:color="auto"/>
        <w:left w:val="none" w:sz="0" w:space="0" w:color="auto"/>
        <w:bottom w:val="none" w:sz="0" w:space="0" w:color="auto"/>
        <w:right w:val="none" w:sz="0" w:space="0" w:color="auto"/>
      </w:divBdr>
    </w:div>
    <w:div w:id="1344628259">
      <w:bodyDiv w:val="1"/>
      <w:marLeft w:val="0"/>
      <w:marRight w:val="0"/>
      <w:marTop w:val="0"/>
      <w:marBottom w:val="0"/>
      <w:divBdr>
        <w:top w:val="none" w:sz="0" w:space="0" w:color="auto"/>
        <w:left w:val="none" w:sz="0" w:space="0" w:color="auto"/>
        <w:bottom w:val="none" w:sz="0" w:space="0" w:color="auto"/>
        <w:right w:val="none" w:sz="0" w:space="0" w:color="auto"/>
      </w:divBdr>
    </w:div>
    <w:div w:id="1432699265">
      <w:bodyDiv w:val="1"/>
      <w:marLeft w:val="0"/>
      <w:marRight w:val="0"/>
      <w:marTop w:val="0"/>
      <w:marBottom w:val="0"/>
      <w:divBdr>
        <w:top w:val="none" w:sz="0" w:space="0" w:color="auto"/>
        <w:left w:val="none" w:sz="0" w:space="0" w:color="auto"/>
        <w:bottom w:val="none" w:sz="0" w:space="0" w:color="auto"/>
        <w:right w:val="none" w:sz="0" w:space="0" w:color="auto"/>
      </w:divBdr>
    </w:div>
    <w:div w:id="1466660081">
      <w:bodyDiv w:val="1"/>
      <w:marLeft w:val="0"/>
      <w:marRight w:val="0"/>
      <w:marTop w:val="0"/>
      <w:marBottom w:val="0"/>
      <w:divBdr>
        <w:top w:val="none" w:sz="0" w:space="0" w:color="auto"/>
        <w:left w:val="none" w:sz="0" w:space="0" w:color="auto"/>
        <w:bottom w:val="none" w:sz="0" w:space="0" w:color="auto"/>
        <w:right w:val="none" w:sz="0" w:space="0" w:color="auto"/>
      </w:divBdr>
    </w:div>
    <w:div w:id="1679774332">
      <w:bodyDiv w:val="1"/>
      <w:marLeft w:val="0"/>
      <w:marRight w:val="0"/>
      <w:marTop w:val="0"/>
      <w:marBottom w:val="0"/>
      <w:divBdr>
        <w:top w:val="none" w:sz="0" w:space="0" w:color="auto"/>
        <w:left w:val="none" w:sz="0" w:space="0" w:color="auto"/>
        <w:bottom w:val="none" w:sz="0" w:space="0" w:color="auto"/>
        <w:right w:val="none" w:sz="0" w:space="0" w:color="auto"/>
      </w:divBdr>
    </w:div>
    <w:div w:id="1956134019">
      <w:bodyDiv w:val="1"/>
      <w:marLeft w:val="0"/>
      <w:marRight w:val="0"/>
      <w:marTop w:val="0"/>
      <w:marBottom w:val="0"/>
      <w:divBdr>
        <w:top w:val="none" w:sz="0" w:space="0" w:color="auto"/>
        <w:left w:val="none" w:sz="0" w:space="0" w:color="auto"/>
        <w:bottom w:val="none" w:sz="0" w:space="0" w:color="auto"/>
        <w:right w:val="none" w:sz="0" w:space="0" w:color="auto"/>
      </w:divBdr>
    </w:div>
    <w:div w:id="1973318007">
      <w:bodyDiv w:val="1"/>
      <w:marLeft w:val="0"/>
      <w:marRight w:val="0"/>
      <w:marTop w:val="0"/>
      <w:marBottom w:val="0"/>
      <w:divBdr>
        <w:top w:val="none" w:sz="0" w:space="0" w:color="auto"/>
        <w:left w:val="none" w:sz="0" w:space="0" w:color="auto"/>
        <w:bottom w:val="none" w:sz="0" w:space="0" w:color="auto"/>
        <w:right w:val="none" w:sz="0" w:space="0" w:color="auto"/>
      </w:divBdr>
    </w:div>
    <w:div w:id="209697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 Sherlock-Fuidge</dc:creator>
  <cp:lastModifiedBy>Dona Sherlock-Fuidge</cp:lastModifiedBy>
  <cp:revision>4</cp:revision>
  <cp:lastPrinted>2017-07-01T11:55:00Z</cp:lastPrinted>
  <dcterms:created xsi:type="dcterms:W3CDTF">2017-11-27T16:33:00Z</dcterms:created>
  <dcterms:modified xsi:type="dcterms:W3CDTF">2017-11-27T16:39:00Z</dcterms:modified>
</cp:coreProperties>
</file>